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15A" w:rsidRPr="002F3184" w:rsidRDefault="008673B6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8115E3" w:rsidRPr="002F3184" w:rsidRDefault="008115E3" w:rsidP="008115E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8115E3" w:rsidRPr="002F3184" w:rsidRDefault="008115E3" w:rsidP="008115E3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2F3184">
        <w:rPr>
          <w:rFonts w:ascii="IRBadr" w:hAnsi="IRBadr" w:cs="IRBadr"/>
          <w:sz w:val="28"/>
          <w:rtl/>
        </w:rPr>
        <w:fldChar w:fldCharType="begin"/>
      </w:r>
      <w:r w:rsidRPr="002F3184">
        <w:rPr>
          <w:rFonts w:ascii="IRBadr" w:hAnsi="IRBadr" w:cs="IRBadr"/>
          <w:sz w:val="28"/>
          <w:rtl/>
        </w:rPr>
        <w:instrText xml:space="preserve"> </w:instrText>
      </w:r>
      <w:r w:rsidRPr="002F3184">
        <w:rPr>
          <w:rFonts w:ascii="IRBadr" w:hAnsi="IRBadr" w:cs="IRBadr"/>
          <w:sz w:val="28"/>
        </w:rPr>
        <w:instrText>TOC</w:instrText>
      </w:r>
      <w:r w:rsidRPr="002F3184">
        <w:rPr>
          <w:rFonts w:ascii="IRBadr" w:hAnsi="IRBadr" w:cs="IRBadr"/>
          <w:sz w:val="28"/>
          <w:rtl/>
        </w:rPr>
        <w:instrText xml:space="preserve"> \</w:instrText>
      </w:r>
      <w:r w:rsidRPr="002F3184">
        <w:rPr>
          <w:rFonts w:ascii="IRBadr" w:hAnsi="IRBadr" w:cs="IRBadr"/>
          <w:sz w:val="28"/>
        </w:rPr>
        <w:instrText>o "</w:instrText>
      </w:r>
      <w:r w:rsidRPr="002F3184">
        <w:rPr>
          <w:rFonts w:ascii="IRBadr" w:hAnsi="IRBadr" w:cs="IRBadr"/>
          <w:sz w:val="28"/>
          <w:rtl/>
        </w:rPr>
        <w:instrText>1-4</w:instrText>
      </w:r>
      <w:r w:rsidRPr="002F3184">
        <w:rPr>
          <w:rFonts w:ascii="IRBadr" w:hAnsi="IRBadr" w:cs="IRBadr"/>
          <w:sz w:val="28"/>
        </w:rPr>
        <w:instrText>" \h \z \u</w:instrText>
      </w:r>
      <w:r w:rsidRPr="002F3184">
        <w:rPr>
          <w:rFonts w:ascii="IRBadr" w:hAnsi="IRBadr" w:cs="IRBadr"/>
          <w:sz w:val="28"/>
          <w:rtl/>
        </w:rPr>
        <w:instrText xml:space="preserve"> </w:instrText>
      </w:r>
      <w:r w:rsidRPr="002F3184">
        <w:rPr>
          <w:rFonts w:ascii="IRBadr" w:hAnsi="IRBadr" w:cs="IRBadr"/>
          <w:sz w:val="28"/>
          <w:rtl/>
        </w:rPr>
        <w:fldChar w:fldCharType="separate"/>
      </w:r>
      <w:hyperlink w:anchor="_Toc428090709" w:history="1">
        <w:r w:rsidRPr="002F3184">
          <w:rPr>
            <w:rStyle w:val="Hyperlink"/>
            <w:rFonts w:ascii="IRBadr" w:hAnsi="IRBadr" w:cs="IRBadr"/>
            <w:noProof/>
            <w:rtl/>
          </w:rPr>
          <w:t>حد ارتداد</w:t>
        </w:r>
        <w:r w:rsidRPr="002F3184">
          <w:rPr>
            <w:rFonts w:ascii="IRBadr" w:hAnsi="IRBadr" w:cs="IRBadr"/>
            <w:noProof/>
            <w:webHidden/>
          </w:rPr>
          <w:tab/>
        </w:r>
        <w:r w:rsidRPr="002F318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2F3184">
          <w:rPr>
            <w:rFonts w:ascii="IRBadr" w:hAnsi="IRBadr" w:cs="IRBadr"/>
            <w:noProof/>
            <w:webHidden/>
          </w:rPr>
          <w:instrText xml:space="preserve"> PAGEREF _Toc428090709 \h </w:instrText>
        </w:r>
        <w:r w:rsidRPr="002F3184">
          <w:rPr>
            <w:rStyle w:val="Hyperlink"/>
            <w:rFonts w:ascii="IRBadr" w:hAnsi="IRBadr" w:cs="IRBadr"/>
            <w:noProof/>
            <w:rtl/>
          </w:rPr>
        </w:r>
        <w:r w:rsidRPr="002F318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2F3184">
          <w:rPr>
            <w:rFonts w:ascii="IRBadr" w:hAnsi="IRBadr" w:cs="IRBadr"/>
            <w:noProof/>
            <w:webHidden/>
          </w:rPr>
          <w:t>1</w:t>
        </w:r>
        <w:r w:rsidRPr="002F318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115E3" w:rsidRPr="002F3184" w:rsidRDefault="00032438" w:rsidP="008115E3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710" w:history="1">
        <w:r w:rsidR="008115E3" w:rsidRPr="002F3184">
          <w:rPr>
            <w:rStyle w:val="Hyperlink"/>
            <w:rFonts w:ascii="IRBadr" w:hAnsi="IRBadr" w:cs="IRBadr"/>
            <w:noProof/>
            <w:rtl/>
          </w:rPr>
          <w:t>مراد از کفر</w:t>
        </w:r>
        <w:r w:rsidR="008115E3" w:rsidRPr="002F3184">
          <w:rPr>
            <w:rFonts w:ascii="IRBadr" w:hAnsi="IRBadr" w:cs="IRBadr"/>
            <w:noProof/>
            <w:webHidden/>
          </w:rPr>
          <w:tab/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115E3" w:rsidRPr="002F3184">
          <w:rPr>
            <w:rFonts w:ascii="IRBadr" w:hAnsi="IRBadr" w:cs="IRBadr"/>
            <w:noProof/>
            <w:webHidden/>
          </w:rPr>
          <w:instrText xml:space="preserve"> PAGEREF _Toc428090710 \h </w:instrText>
        </w:r>
        <w:r w:rsidR="008115E3" w:rsidRPr="002F3184">
          <w:rPr>
            <w:rStyle w:val="Hyperlink"/>
            <w:rFonts w:ascii="IRBadr" w:hAnsi="IRBadr" w:cs="IRBadr"/>
            <w:noProof/>
            <w:rtl/>
          </w:rPr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115E3" w:rsidRPr="002F3184">
          <w:rPr>
            <w:rFonts w:ascii="IRBadr" w:hAnsi="IRBadr" w:cs="IRBadr"/>
            <w:noProof/>
            <w:webHidden/>
          </w:rPr>
          <w:t>1</w:t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115E3" w:rsidRPr="002F3184" w:rsidRDefault="00032438" w:rsidP="008115E3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711" w:history="1">
        <w:r w:rsidR="008115E3" w:rsidRPr="002F3184">
          <w:rPr>
            <w:rStyle w:val="Hyperlink"/>
            <w:rFonts w:ascii="IRBadr" w:hAnsi="IRBadr" w:cs="IRBadr"/>
            <w:noProof/>
            <w:rtl/>
          </w:rPr>
          <w:t>مستند بحث</w:t>
        </w:r>
        <w:r w:rsidR="008115E3" w:rsidRPr="002F3184">
          <w:rPr>
            <w:rFonts w:ascii="IRBadr" w:hAnsi="IRBadr" w:cs="IRBadr"/>
            <w:noProof/>
            <w:webHidden/>
          </w:rPr>
          <w:tab/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115E3" w:rsidRPr="002F3184">
          <w:rPr>
            <w:rFonts w:ascii="IRBadr" w:hAnsi="IRBadr" w:cs="IRBadr"/>
            <w:noProof/>
            <w:webHidden/>
          </w:rPr>
          <w:instrText xml:space="preserve"> PAGEREF _Toc428090711 \h </w:instrText>
        </w:r>
        <w:r w:rsidR="008115E3" w:rsidRPr="002F3184">
          <w:rPr>
            <w:rStyle w:val="Hyperlink"/>
            <w:rFonts w:ascii="IRBadr" w:hAnsi="IRBadr" w:cs="IRBadr"/>
            <w:noProof/>
            <w:rtl/>
          </w:rPr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115E3" w:rsidRPr="002F3184">
          <w:rPr>
            <w:rFonts w:ascii="IRBadr" w:hAnsi="IRBadr" w:cs="IRBadr"/>
            <w:noProof/>
            <w:webHidden/>
          </w:rPr>
          <w:t>1</w:t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115E3" w:rsidRPr="002F3184" w:rsidRDefault="00032438" w:rsidP="008115E3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712" w:history="1">
        <w:r w:rsidR="008115E3" w:rsidRPr="002F3184">
          <w:rPr>
            <w:rStyle w:val="Hyperlink"/>
            <w:rFonts w:ascii="IRBadr" w:hAnsi="IRBadr" w:cs="IRBadr"/>
            <w:noProof/>
            <w:rtl/>
          </w:rPr>
          <w:t>جمع‌بندی</w:t>
        </w:r>
        <w:r w:rsidR="008115E3" w:rsidRPr="002F3184">
          <w:rPr>
            <w:rFonts w:ascii="IRBadr" w:hAnsi="IRBadr" w:cs="IRBadr"/>
            <w:noProof/>
            <w:webHidden/>
          </w:rPr>
          <w:tab/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115E3" w:rsidRPr="002F3184">
          <w:rPr>
            <w:rFonts w:ascii="IRBadr" w:hAnsi="IRBadr" w:cs="IRBadr"/>
            <w:noProof/>
            <w:webHidden/>
          </w:rPr>
          <w:instrText xml:space="preserve"> PAGEREF _Toc428090712 \h </w:instrText>
        </w:r>
        <w:r w:rsidR="008115E3" w:rsidRPr="002F3184">
          <w:rPr>
            <w:rStyle w:val="Hyperlink"/>
            <w:rFonts w:ascii="IRBadr" w:hAnsi="IRBadr" w:cs="IRBadr"/>
            <w:noProof/>
            <w:rtl/>
          </w:rPr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115E3" w:rsidRPr="002F3184">
          <w:rPr>
            <w:rFonts w:ascii="IRBadr" w:hAnsi="IRBadr" w:cs="IRBadr"/>
            <w:noProof/>
            <w:webHidden/>
          </w:rPr>
          <w:t>3</w:t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115E3" w:rsidRPr="002F3184" w:rsidRDefault="00032438" w:rsidP="008115E3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713" w:history="1">
        <w:r w:rsidR="008115E3" w:rsidRPr="002F3184">
          <w:rPr>
            <w:rStyle w:val="Hyperlink"/>
            <w:rFonts w:ascii="IRBadr" w:hAnsi="IRBadr" w:cs="IRBadr"/>
            <w:noProof/>
            <w:rtl/>
          </w:rPr>
          <w:t>شرایط ارتداد</w:t>
        </w:r>
        <w:r w:rsidR="008115E3" w:rsidRPr="002F3184">
          <w:rPr>
            <w:rFonts w:ascii="IRBadr" w:hAnsi="IRBadr" w:cs="IRBadr"/>
            <w:noProof/>
            <w:webHidden/>
          </w:rPr>
          <w:tab/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115E3" w:rsidRPr="002F3184">
          <w:rPr>
            <w:rFonts w:ascii="IRBadr" w:hAnsi="IRBadr" w:cs="IRBadr"/>
            <w:noProof/>
            <w:webHidden/>
          </w:rPr>
          <w:instrText xml:space="preserve"> PAGEREF _Toc428090713 \h </w:instrText>
        </w:r>
        <w:r w:rsidR="008115E3" w:rsidRPr="002F3184">
          <w:rPr>
            <w:rStyle w:val="Hyperlink"/>
            <w:rFonts w:ascii="IRBadr" w:hAnsi="IRBadr" w:cs="IRBadr"/>
            <w:noProof/>
            <w:rtl/>
          </w:rPr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115E3" w:rsidRPr="002F3184">
          <w:rPr>
            <w:rFonts w:ascii="IRBadr" w:hAnsi="IRBadr" w:cs="IRBadr"/>
            <w:noProof/>
            <w:webHidden/>
          </w:rPr>
          <w:t>3</w:t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115E3" w:rsidRPr="002F3184" w:rsidRDefault="00032438" w:rsidP="008115E3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8090714" w:history="1">
        <w:r w:rsidR="008115E3" w:rsidRPr="002F3184">
          <w:rPr>
            <w:rStyle w:val="Hyperlink"/>
            <w:rFonts w:ascii="IRBadr" w:hAnsi="IRBadr" w:cs="IRBadr"/>
            <w:noProof/>
            <w:rtl/>
          </w:rPr>
          <w:t>روایت غضب</w:t>
        </w:r>
        <w:r w:rsidR="008115E3" w:rsidRPr="002F3184">
          <w:rPr>
            <w:rFonts w:ascii="IRBadr" w:hAnsi="IRBadr" w:cs="IRBadr"/>
            <w:noProof/>
            <w:webHidden/>
          </w:rPr>
          <w:tab/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115E3" w:rsidRPr="002F3184">
          <w:rPr>
            <w:rFonts w:ascii="IRBadr" w:hAnsi="IRBadr" w:cs="IRBadr"/>
            <w:noProof/>
            <w:webHidden/>
          </w:rPr>
          <w:instrText xml:space="preserve"> PAGEREF _Toc428090714 \h </w:instrText>
        </w:r>
        <w:r w:rsidR="008115E3" w:rsidRPr="002F3184">
          <w:rPr>
            <w:rStyle w:val="Hyperlink"/>
            <w:rFonts w:ascii="IRBadr" w:hAnsi="IRBadr" w:cs="IRBadr"/>
            <w:noProof/>
            <w:rtl/>
          </w:rPr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115E3" w:rsidRPr="002F3184">
          <w:rPr>
            <w:rFonts w:ascii="IRBadr" w:hAnsi="IRBadr" w:cs="IRBadr"/>
            <w:noProof/>
            <w:webHidden/>
          </w:rPr>
          <w:t>3</w:t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115E3" w:rsidRPr="002F3184" w:rsidRDefault="00032438" w:rsidP="008115E3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8090715" w:history="1">
        <w:r w:rsidR="008115E3" w:rsidRPr="002F3184">
          <w:rPr>
            <w:rStyle w:val="Hyperlink"/>
            <w:rFonts w:ascii="IRBadr" w:hAnsi="IRBadr" w:cs="IRBadr"/>
            <w:noProof/>
            <w:rtl/>
          </w:rPr>
          <w:t>برگشت از اظهار در ارتداد</w:t>
        </w:r>
        <w:r w:rsidR="008115E3" w:rsidRPr="002F3184">
          <w:rPr>
            <w:rFonts w:ascii="IRBadr" w:hAnsi="IRBadr" w:cs="IRBadr"/>
            <w:noProof/>
            <w:webHidden/>
          </w:rPr>
          <w:tab/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8115E3" w:rsidRPr="002F3184">
          <w:rPr>
            <w:rFonts w:ascii="IRBadr" w:hAnsi="IRBadr" w:cs="IRBadr"/>
            <w:noProof/>
            <w:webHidden/>
          </w:rPr>
          <w:instrText xml:space="preserve"> PAGEREF _Toc428090715 \h </w:instrText>
        </w:r>
        <w:r w:rsidR="008115E3" w:rsidRPr="002F3184">
          <w:rPr>
            <w:rStyle w:val="Hyperlink"/>
            <w:rFonts w:ascii="IRBadr" w:hAnsi="IRBadr" w:cs="IRBadr"/>
            <w:noProof/>
            <w:rtl/>
          </w:rPr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8115E3" w:rsidRPr="002F3184">
          <w:rPr>
            <w:rFonts w:ascii="IRBadr" w:hAnsi="IRBadr" w:cs="IRBadr"/>
            <w:noProof/>
            <w:webHidden/>
          </w:rPr>
          <w:t>4</w:t>
        </w:r>
        <w:r w:rsidR="008115E3" w:rsidRPr="002F3184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8115E3" w:rsidRPr="002F3184" w:rsidRDefault="008115E3" w:rsidP="008115E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2F3184" w:rsidRPr="002F3184" w:rsidRDefault="002F3184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090709"/>
      <w:r w:rsidRPr="002F3184">
        <w:rPr>
          <w:rFonts w:ascii="IRBadr" w:hAnsi="IRBadr" w:cs="IRBadr"/>
          <w:rtl/>
        </w:rPr>
        <w:br w:type="page"/>
      </w:r>
    </w:p>
    <w:p w:rsidR="005F115A" w:rsidRPr="002F3184" w:rsidRDefault="005F115A" w:rsidP="005F115A">
      <w:pPr>
        <w:pStyle w:val="Heading1"/>
        <w:rPr>
          <w:rFonts w:ascii="IRBadr" w:hAnsi="IRBadr" w:cs="IRBadr"/>
          <w:rtl/>
        </w:rPr>
      </w:pPr>
      <w:r w:rsidRPr="002F3184">
        <w:rPr>
          <w:rFonts w:ascii="IRBadr" w:hAnsi="IRBadr" w:cs="IRBadr"/>
          <w:rtl/>
        </w:rPr>
        <w:lastRenderedPageBreak/>
        <w:t>حد ارتداد</w:t>
      </w:r>
      <w:bookmarkEnd w:id="0"/>
    </w:p>
    <w:p w:rsidR="005F115A" w:rsidRPr="002F3184" w:rsidRDefault="005F115A" w:rsidP="005F115A">
      <w:pPr>
        <w:pStyle w:val="Heading1"/>
        <w:rPr>
          <w:rFonts w:ascii="IRBadr" w:hAnsi="IRBadr" w:cs="IRBadr"/>
          <w:rtl/>
        </w:rPr>
      </w:pPr>
      <w:bookmarkStart w:id="1" w:name="_Toc428090710"/>
      <w:r w:rsidRPr="002F3184">
        <w:rPr>
          <w:rFonts w:ascii="IRBadr" w:hAnsi="IRBadr" w:cs="IRBadr"/>
          <w:rtl/>
        </w:rPr>
        <w:t>مراد از کفر</w:t>
      </w:r>
      <w:bookmarkEnd w:id="1"/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در این تردیدی نیست که کفر انکار رسالت و توحید را دربر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.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اینکه معاد نیز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بدان‌ها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ملحق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محل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اختلاف است.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معمول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فقها در این رابطه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معاد به دو مورد دیگر ملحق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اما آقای خویی آن را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ضروری دین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می‌پذیرد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ظاهر کلام بسیاری این است که انکار ضروری بما هو هو موجب کفر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، اما نظر برخی از محققین این است که اگر این انکار به انکار رسالت یا توحید برسد،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موجب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کفر خواهد شد.</w:t>
      </w:r>
    </w:p>
    <w:p w:rsidR="005F115A" w:rsidRPr="002F3184" w:rsidRDefault="005F115A" w:rsidP="005F115A">
      <w:pPr>
        <w:pStyle w:val="Heading1"/>
        <w:rPr>
          <w:rFonts w:ascii="IRBadr" w:hAnsi="IRBadr" w:cs="IRBadr"/>
          <w:rtl/>
        </w:rPr>
      </w:pPr>
      <w:bookmarkStart w:id="2" w:name="_Toc428090711"/>
      <w:r w:rsidRPr="002F3184">
        <w:rPr>
          <w:rFonts w:ascii="IRBadr" w:hAnsi="IRBadr" w:cs="IRBadr"/>
          <w:rtl/>
        </w:rPr>
        <w:t>مستند بحث</w:t>
      </w:r>
      <w:bookmarkEnd w:id="2"/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ممکن است به این روایت برای موارد تردید در ضروریات دین تکیه شود که این حدیث در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جلد هیجده، ابواب حد مرتد، باب پنجم، حدیث چهارم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و صفحه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پانصد و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پنجاه‌ویک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5F115A" w:rsidRPr="002F3184" w:rsidRDefault="005F115A" w:rsidP="005F115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مُحَمَّدِ بْنِ عِ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عَبْدِ الرَّحْمَنِ الْأَبْزَارِ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نَاسِ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الْحَارِثِ بْنِ الْمُغِ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رَةِ قَالَ: قُلْتُ لِأَبِ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أَ رَأَ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 لَوْ أَنَّ رَجُلًا أَتَ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النَّبِ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 فَقَالَ وَ اللَّهِ مَا أَدْرِ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 نَبِ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أَنْتَ أَمْ لَا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قْبَلُ مِنْهُ قَالَ لَا وَ لَ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انَ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قْتُلُهُ إِنَّهُ لَوْ قَبِلَ ذَلِ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مِنْهُ مَا أَسْلَمَ مُنَافِقٌ أَبَداً.» 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اما این روایت به خاطر عبدالرحمان که دارای توثیقی نیست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و محمد بن عیسی که محل اختلاف بود،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مبتلابه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ضعف است. غالباً مستند این بحث نوعی از سیره،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ارتکاز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و اجماع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بر این </w:t>
      </w:r>
      <w:r w:rsidR="003971B0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که در این باب وجود دارد،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است که گفته شود کفر عدم قبول است و موارد تردید را دربر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. علت آن نیز قاعده درع و روایاتی است که در این باب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و موارد تردید را دربر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همانند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این حدیث که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5F115A" w:rsidRPr="002F3184" w:rsidRDefault="005F115A" w:rsidP="005F115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«یَحْ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جَمِ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عاً عَنِ ابْنِ مَحْبُوبٍ عَنْ هِشَامِ بْنِ سَالِمٍ عَنْ عَمَّارٍ السَّابَاطِ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 سَمِعْتُ أَبَا عَبْدِ اللَّهِ ع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قُولُ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لُّ مُسْلِمٍ بَ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مُسْلِمَ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ارْتَدَّ عَنِ الْإِسْلَامِ وَ جَحَدَ مُحَمَّداً ص نُبُوَّتَهُ وَ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ذَّبَهُ فَإِنَّ دَمَهُ مُبَاحٌ لِ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مَنْ سَمِعَ ذَلِ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مِنْهُ وَ 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امْرَأَتَهُ بَائِنَةٌ مِنْهُ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وْمَ ارْتَدَّ فَلَا تَقْرَبْهُ وَ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قْسَمُ مَالُهُ عَلَ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وَرَثَتِهِ وَ تَعْتَدُّ امْرَأَتُهُ [بَعْدُ] عِدَّةَ الْمُتَوَفَّ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عَنْهَا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زوج‌ها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عَلَ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الْإِمَامِ أَنْ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قْتُلَهُ وَ لَا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بَهُ.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در اینجا از لفظ تکذیب تعبیر شده است.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که در برخی روایات دیگر از این باب تعابیری وجود دارد که ممکن است با تردید نیز جمع شود.</w:t>
      </w:r>
    </w:p>
    <w:p w:rsidR="005F115A" w:rsidRPr="002F3184" w:rsidRDefault="005F115A" w:rsidP="005F115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«وَ عَنْهُ عَنِ الْعَلَاءِ عَنْ مُحَمَّدِ بْنِ مُسْلِمٍ قَالَ: سَأَلْتُ أَبَا جَعْفَرٍ ع عَنِ الْمُرْتَدِّ فَقَالَ مَنْ رَغِبَ عَنِ الْإِسْلَامِ وَ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فَرَ بِمَا أُنْزِلَ عَلَ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مُحَمَّدٍ ص بَعْدَ إِسْلَامِهِ فَلَا تَوْبَةَ لَهُ وَ قَدْ وَجَبَ قَتْلُهُ وَ بَانَتْ مِنْهُ امْرَأَتُهُ وَ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قْسَمُ مَا تَرَ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وُلْدِهِ.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که تعبیر فوق در روایت همان معنای عام را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می‌رساند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F115A" w:rsidRPr="002F3184" w:rsidRDefault="008673B6" w:rsidP="005F115A">
      <w:pPr>
        <w:pStyle w:val="Heading1"/>
        <w:rPr>
          <w:rFonts w:ascii="IRBadr" w:hAnsi="IRBadr" w:cs="IRBadr"/>
          <w:rtl/>
        </w:rPr>
      </w:pPr>
      <w:bookmarkStart w:id="4" w:name="_Toc428090712"/>
      <w:r w:rsidRPr="002F3184">
        <w:rPr>
          <w:rFonts w:ascii="IRBadr" w:hAnsi="IRBadr" w:cs="IRBadr"/>
          <w:rtl/>
        </w:rPr>
        <w:t>جمع‌بندی</w:t>
      </w:r>
      <w:bookmarkEnd w:id="4"/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تاکنون این مباحث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است که در مطلق مرتد توبه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واقع شود.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بحث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دیگر راجع به تقسیم ارتداد از حیث عوامل بود که در آن به سبب شبهه واقعه حکم ارتداد اجرا نخواهد شد.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جایگاه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قاعده درع نیز در مواردی از بحث </w:t>
      </w:r>
      <w:r w:rsidR="003971B0">
        <w:rPr>
          <w:rFonts w:ascii="IRBadr" w:hAnsi="IRBadr" w:cs="IRBadr"/>
          <w:sz w:val="28"/>
          <w:szCs w:val="28"/>
          <w:rtl/>
          <w:lang w:bidi="fa-IR"/>
        </w:rPr>
        <w:t>تبیین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شد.</w:t>
      </w:r>
    </w:p>
    <w:p w:rsidR="005F115A" w:rsidRPr="002F3184" w:rsidRDefault="005F115A" w:rsidP="005F115A">
      <w:pPr>
        <w:pStyle w:val="Heading2"/>
        <w:rPr>
          <w:rFonts w:ascii="IRBadr" w:hAnsi="IRBadr" w:cs="IRBadr"/>
          <w:rtl/>
        </w:rPr>
      </w:pPr>
      <w:bookmarkStart w:id="5" w:name="_Toc428090713"/>
      <w:r w:rsidRPr="002F3184">
        <w:rPr>
          <w:rFonts w:ascii="IRBadr" w:hAnsi="IRBadr" w:cs="IRBadr"/>
          <w:rtl/>
        </w:rPr>
        <w:t>شرایط ارتداد</w:t>
      </w:r>
      <w:bookmarkEnd w:id="5"/>
    </w:p>
    <w:p w:rsidR="005F115A" w:rsidRPr="002F3184" w:rsidRDefault="003971B0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دیگر در قبال شرایط ثبوت ارتداد است که در آن بلوغ،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عقل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>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اختیار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و قصد شرط شده است و در بحث حدود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که در قبال شرط بلوغ وجود داشت ذکر شد.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عقل مورد ارتداد مجنون را خارج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F115A" w:rsidRPr="002F3184" w:rsidRDefault="008673B6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شرایط دیگری که در این زمینه وجود دارد،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شرط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اختیار بود که موارد اکراه یا تقیه و اضطرار را خارج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همانند داستانی که در قبال عمار یاسر به وقوع رسیده بود. مورد قصد نیز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کما اینکه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مکرراً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است مواردی که در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قصد جدی مراعات نشده مانند هذل و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حواس‌پرتی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و ... را خارج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می‌نماید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>.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5F115A" w:rsidRPr="002F3184">
        <w:rPr>
          <w:rFonts w:ascii="IRBadr" w:hAnsi="IRBadr" w:cs="IRBadr"/>
          <w:sz w:val="28"/>
          <w:szCs w:val="28"/>
          <w:rtl/>
          <w:lang w:bidi="fa-IR"/>
        </w:rPr>
        <w:t xml:space="preserve"> مواردی که در ذیل شرط قصد باید مطرح گردد اظهار فرد در هنگام غضب است که در این زمینه روایاتی وجود دارد.</w:t>
      </w:r>
    </w:p>
    <w:p w:rsidR="005F115A" w:rsidRPr="002F3184" w:rsidRDefault="005F115A" w:rsidP="005F115A">
      <w:pPr>
        <w:pStyle w:val="Heading2"/>
        <w:rPr>
          <w:rFonts w:ascii="IRBadr" w:hAnsi="IRBadr" w:cs="IRBadr"/>
          <w:rtl/>
        </w:rPr>
      </w:pPr>
      <w:bookmarkStart w:id="6" w:name="_Toc428090714"/>
      <w:r w:rsidRPr="002F3184">
        <w:rPr>
          <w:rFonts w:ascii="IRBadr" w:hAnsi="IRBadr" w:cs="IRBadr"/>
          <w:rtl/>
        </w:rPr>
        <w:lastRenderedPageBreak/>
        <w:t>روایت غضب</w:t>
      </w:r>
      <w:bookmarkEnd w:id="6"/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این روایات در باب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بیست‌وهشت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ابواب حد قذف، صفحه چهارصد و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شصت‌وچهار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این روایت معتبر است؛</w:t>
      </w:r>
    </w:p>
    <w:p w:rsidR="005F115A" w:rsidRPr="002F3184" w:rsidRDefault="005F115A" w:rsidP="005F115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ابْنِ أَبِ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عَنْ عَلِ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عَطِ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ةَ عَنْ أَبِ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نْتُ عِنْدَهُ وَ سَأَلَهُ رَجُلٌ عَنْ رَجُلٍ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‌ءُ مِنْهُ الشَّ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‌ءُ عَلَ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حَدِّ الْغَضَبِ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ؤَاخِذُهُ اللَّهُ بِهِ فَقَالَ اللَّهُ أَ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رَمُ مِنْ أَنْ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سْتَغْلِقَ عَبْدَهُ وَ فِ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نُسْخَةِ أَبِ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الْحَسَنِ الْأَوَّلِ ع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سْتَقْلِقَ عَبْدَهُ.»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5F115A" w:rsidRPr="002F3184" w:rsidRDefault="005F115A" w:rsidP="005F115A">
      <w:pPr>
        <w:pStyle w:val="Heading3"/>
        <w:rPr>
          <w:rFonts w:ascii="IRBadr" w:hAnsi="IRBadr" w:cs="IRBadr"/>
          <w:rtl/>
        </w:rPr>
      </w:pPr>
      <w:bookmarkStart w:id="7" w:name="_Toc428090715"/>
      <w:r w:rsidRPr="002F3184">
        <w:rPr>
          <w:rFonts w:ascii="IRBadr" w:hAnsi="IRBadr" w:cs="IRBadr"/>
          <w:rtl/>
        </w:rPr>
        <w:t>برگشت از اظهار در ارتداد</w:t>
      </w:r>
      <w:bookmarkEnd w:id="7"/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>مسئله سوم این است که؛</w:t>
      </w:r>
    </w:p>
    <w:p w:rsidR="005F115A" w:rsidRPr="002F3184" w:rsidRDefault="005F115A" w:rsidP="005F115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«مسألة 3: لو ظهر منه ما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وجب الارتداد فادّع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الإ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راه مع احتماله، أو عدم القصد و سبق اللسان مع احتماله قبل منه، و لو قامت الب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نة عل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صدور 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لام منه موجب للارتداد فادّع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ما ذ</w:t>
      </w:r>
      <w:r w:rsidR="008673B6"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قبل منه»</w:t>
      </w:r>
      <w:r w:rsidRPr="002F3184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5F115A" w:rsidRPr="002F3184" w:rsidRDefault="005F115A" w:rsidP="005F115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3971B0">
        <w:rPr>
          <w:rFonts w:ascii="IRBadr" w:hAnsi="IRBadr" w:cs="IRBadr"/>
          <w:sz w:val="28"/>
          <w:szCs w:val="28"/>
          <w:rtl/>
          <w:lang w:bidi="fa-IR"/>
        </w:rPr>
        <w:t>مسئله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راجع به این است که اگر کسی اظهار کفر کرد و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ادعا نمود که به شوخی بوده است،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اکراهی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یا عاملی دیگر در کار بوده که مانع از تحقق قصد جدی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>،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اینجا اگر قرینه عقلایی برای پذیرش قول او بود،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خواهد بود.</w:t>
      </w: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اما ممکن است که در اینجا ادعا شود با استصحاب موضوع ارتداد ثابت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که در این قبال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73B6" w:rsidRPr="002F3184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2F3184">
        <w:rPr>
          <w:rFonts w:ascii="IRBadr" w:hAnsi="IRBadr" w:cs="IRBadr"/>
          <w:sz w:val="28"/>
          <w:szCs w:val="28"/>
          <w:rtl/>
          <w:lang w:bidi="fa-IR"/>
        </w:rPr>
        <w:t xml:space="preserve"> پاسخ داد که موضوع ارتداد مقید به عدم وجود اکراه است.</w:t>
      </w: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5F115A" w:rsidRPr="002F3184" w:rsidRDefault="005F115A" w:rsidP="005F115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2F3184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2F3184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438" w:rsidRDefault="00032438" w:rsidP="000D5800">
      <w:pPr>
        <w:spacing w:after="0" w:line="240" w:lineRule="auto"/>
      </w:pPr>
      <w:r>
        <w:separator/>
      </w:r>
    </w:p>
  </w:endnote>
  <w:endnote w:type="continuationSeparator" w:id="0">
    <w:p w:rsidR="00032438" w:rsidRDefault="00032438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438" w:rsidRDefault="00032438" w:rsidP="00CB6DDA">
      <w:pPr>
        <w:bidi/>
        <w:spacing w:after="0" w:line="240" w:lineRule="auto"/>
      </w:pPr>
      <w:r>
        <w:separator/>
      </w:r>
    </w:p>
  </w:footnote>
  <w:footnote w:type="continuationSeparator" w:id="0">
    <w:p w:rsidR="00032438" w:rsidRDefault="00032438" w:rsidP="000D5800">
      <w:pPr>
        <w:spacing w:after="0" w:line="240" w:lineRule="auto"/>
      </w:pPr>
      <w:r>
        <w:continuationSeparator/>
      </w:r>
    </w:p>
  </w:footnote>
  <w:footnote w:id="1">
    <w:p w:rsidR="005F115A" w:rsidRDefault="005F115A" w:rsidP="005F115A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3971B0">
        <w:rPr>
          <w:rFonts w:ascii="Noor_Titr" w:hAnsi="Noor_Titr" w:cs="B Badr" w:hint="cs"/>
          <w:color w:val="000000" w:themeColor="text1"/>
          <w:rtl/>
        </w:rPr>
        <w:t xml:space="preserve">- </w:t>
      </w:r>
      <w:bookmarkStart w:id="3" w:name="_GoBack"/>
      <w:bookmarkEnd w:id="3"/>
      <w:r w:rsidRPr="00A436C5">
        <w:rPr>
          <w:rFonts w:ascii="Noor_Titr" w:hAnsi="Noor_Titr" w:cs="B Badr" w:hint="cs"/>
          <w:color w:val="000000" w:themeColor="text1"/>
          <w:rtl/>
        </w:rPr>
        <w:t>ال</w:t>
      </w:r>
      <w:r w:rsidR="008673B6">
        <w:rPr>
          <w:rFonts w:ascii="Noor_Titr" w:hAnsi="Noor_Titr" w:cs="B Badr" w:hint="cs"/>
          <w:color w:val="000000" w:themeColor="text1"/>
          <w:rtl/>
        </w:rPr>
        <w:t>ک</w:t>
      </w:r>
      <w:r w:rsidRPr="00A436C5">
        <w:rPr>
          <w:rFonts w:ascii="Noor_Titr" w:hAnsi="Noor_Titr" w:cs="B Badr" w:hint="cs"/>
          <w:color w:val="000000" w:themeColor="text1"/>
          <w:rtl/>
        </w:rPr>
        <w:t>اف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8673B6">
        <w:rPr>
          <w:rFonts w:ascii="Noor_Titr" w:hAnsi="Noor_Titr" w:cs="B Badr"/>
          <w:color w:val="000000" w:themeColor="text1"/>
          <w:rtl/>
        </w:rPr>
        <w:t>ج 7</w:t>
      </w:r>
      <w:r w:rsidRPr="00A436C5">
        <w:rPr>
          <w:rFonts w:ascii="Noor_Titr" w:hAnsi="Noor_Titr" w:cs="B Badr" w:hint="cs"/>
          <w:color w:val="000000" w:themeColor="text1"/>
          <w:rtl/>
        </w:rPr>
        <w:t>، ص: 258</w:t>
      </w:r>
      <w:r w:rsidR="003971B0">
        <w:rPr>
          <w:rFonts w:hint="cs"/>
          <w:rtl/>
        </w:rPr>
        <w:t>.</w:t>
      </w:r>
    </w:p>
  </w:footnote>
  <w:footnote w:id="2">
    <w:p w:rsidR="005F115A" w:rsidRDefault="005F115A" w:rsidP="005F115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3971B0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A436C5">
        <w:rPr>
          <w:rFonts w:ascii="Noor_Titr" w:hAnsi="Noor_Titr" w:cs="B Badr" w:hint="cs"/>
          <w:color w:val="000000" w:themeColor="text1"/>
          <w:rtl/>
        </w:rPr>
        <w:t>ال</w:t>
      </w:r>
      <w:r w:rsidR="008673B6">
        <w:rPr>
          <w:rFonts w:ascii="Noor_Titr" w:hAnsi="Noor_Titr" w:cs="B Badr" w:hint="cs"/>
          <w:color w:val="000000" w:themeColor="text1"/>
          <w:rtl/>
        </w:rPr>
        <w:t>ک</w:t>
      </w:r>
      <w:r w:rsidRPr="00A436C5">
        <w:rPr>
          <w:rFonts w:ascii="Noor_Titr" w:hAnsi="Noor_Titr" w:cs="B Badr" w:hint="cs"/>
          <w:color w:val="000000" w:themeColor="text1"/>
          <w:rtl/>
        </w:rPr>
        <w:t>اف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8673B6">
        <w:rPr>
          <w:rFonts w:ascii="Noor_Titr" w:hAnsi="Noor_Titr" w:cs="B Badr"/>
          <w:color w:val="000000" w:themeColor="text1"/>
          <w:rtl/>
        </w:rPr>
        <w:t>ج 7</w:t>
      </w:r>
      <w:r w:rsidRPr="00A436C5">
        <w:rPr>
          <w:rFonts w:ascii="Noor_Titr" w:hAnsi="Noor_Titr" w:cs="B Badr" w:hint="cs"/>
          <w:color w:val="000000" w:themeColor="text1"/>
          <w:rtl/>
        </w:rPr>
        <w:t>، ص: 258</w:t>
      </w:r>
      <w:r w:rsidR="003971B0">
        <w:rPr>
          <w:rFonts w:hint="cs"/>
          <w:rtl/>
        </w:rPr>
        <w:t>.</w:t>
      </w:r>
    </w:p>
  </w:footnote>
  <w:footnote w:id="3">
    <w:p w:rsidR="005F115A" w:rsidRDefault="005F115A" w:rsidP="005F115A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t xml:space="preserve"> </w:t>
      </w:r>
      <w:r w:rsidR="003971B0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A436C5">
        <w:rPr>
          <w:rFonts w:ascii="Noor_Titr" w:hAnsi="Noor_Titr" w:cs="B Badr" w:hint="cs"/>
          <w:color w:val="000000" w:themeColor="text1"/>
          <w:rtl/>
        </w:rPr>
        <w:t>ال</w:t>
      </w:r>
      <w:r w:rsidR="008673B6">
        <w:rPr>
          <w:rFonts w:ascii="Noor_Titr" w:hAnsi="Noor_Titr" w:cs="B Badr" w:hint="cs"/>
          <w:color w:val="000000" w:themeColor="text1"/>
          <w:rtl/>
        </w:rPr>
        <w:t>ک</w:t>
      </w:r>
      <w:r w:rsidRPr="00A436C5">
        <w:rPr>
          <w:rFonts w:ascii="Noor_Titr" w:hAnsi="Noor_Titr" w:cs="B Badr" w:hint="cs"/>
          <w:color w:val="000000" w:themeColor="text1"/>
          <w:rtl/>
        </w:rPr>
        <w:t>اف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8673B6">
        <w:rPr>
          <w:rFonts w:ascii="Noor_Titr" w:hAnsi="Noor_Titr" w:cs="B Badr"/>
          <w:color w:val="000000" w:themeColor="text1"/>
          <w:rtl/>
        </w:rPr>
        <w:t>ج 6</w:t>
      </w:r>
      <w:r w:rsidRPr="00A436C5">
        <w:rPr>
          <w:rFonts w:ascii="Noor_Titr" w:hAnsi="Noor_Titr" w:cs="B Badr" w:hint="cs"/>
          <w:color w:val="000000" w:themeColor="text1"/>
          <w:rtl/>
        </w:rPr>
        <w:t>، ص: 174</w:t>
      </w:r>
      <w:r w:rsidR="003971B0">
        <w:rPr>
          <w:rFonts w:hint="cs"/>
          <w:rtl/>
        </w:rPr>
        <w:t>.</w:t>
      </w:r>
    </w:p>
  </w:footnote>
  <w:footnote w:id="4">
    <w:p w:rsidR="005F115A" w:rsidRDefault="005F115A" w:rsidP="005F115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3971B0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A436C5">
        <w:rPr>
          <w:rFonts w:ascii="Noor_Titr" w:hAnsi="Noor_Titr" w:cs="B Badr" w:hint="cs"/>
          <w:color w:val="000000" w:themeColor="text1"/>
          <w:rtl/>
        </w:rPr>
        <w:t>ال</w:t>
      </w:r>
      <w:r w:rsidR="008673B6">
        <w:rPr>
          <w:rFonts w:ascii="Noor_Titr" w:hAnsi="Noor_Titr" w:cs="B Badr" w:hint="cs"/>
          <w:color w:val="000000" w:themeColor="text1"/>
          <w:rtl/>
        </w:rPr>
        <w:t>ک</w:t>
      </w:r>
      <w:r w:rsidRPr="00A436C5">
        <w:rPr>
          <w:rFonts w:ascii="Noor_Titr" w:hAnsi="Noor_Titr" w:cs="B Badr" w:hint="cs"/>
          <w:color w:val="000000" w:themeColor="text1"/>
          <w:rtl/>
        </w:rPr>
        <w:t>اف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8673B6">
        <w:rPr>
          <w:rFonts w:ascii="Noor_Titr" w:hAnsi="Noor_Titr" w:cs="B Badr"/>
          <w:color w:val="000000" w:themeColor="text1"/>
          <w:rtl/>
        </w:rPr>
        <w:t>ج 8</w:t>
      </w:r>
      <w:r w:rsidRPr="00A436C5">
        <w:rPr>
          <w:rFonts w:ascii="Noor_Titr" w:hAnsi="Noor_Titr" w:cs="B Badr" w:hint="cs"/>
          <w:color w:val="000000" w:themeColor="text1"/>
          <w:rtl/>
        </w:rPr>
        <w:t>، ص: 254</w:t>
      </w:r>
      <w:r w:rsidR="003971B0">
        <w:rPr>
          <w:rFonts w:hint="cs"/>
          <w:rtl/>
        </w:rPr>
        <w:t>.</w:t>
      </w:r>
    </w:p>
  </w:footnote>
  <w:footnote w:id="5">
    <w:p w:rsidR="005F115A" w:rsidRDefault="005F115A" w:rsidP="005F115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3971B0">
        <w:rPr>
          <w:rFonts w:ascii="Noor_Titr" w:hAnsi="Noor_Titr" w:cs="B Badr" w:hint="cs"/>
          <w:color w:val="000000" w:themeColor="text1"/>
          <w:rtl/>
        </w:rPr>
        <w:t xml:space="preserve">- </w:t>
      </w:r>
      <w:r w:rsidRPr="00A436C5">
        <w:rPr>
          <w:rFonts w:ascii="Noor_Titr" w:hAnsi="Noor_Titr" w:cs="B Badr" w:hint="cs"/>
          <w:color w:val="000000" w:themeColor="text1"/>
          <w:rtl/>
        </w:rPr>
        <w:t>تفص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>ل الشر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>عة ف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>ر الوس</w:t>
      </w:r>
      <w:r w:rsidR="008673B6">
        <w:rPr>
          <w:rFonts w:ascii="Noor_Titr" w:hAnsi="Noor_Titr" w:cs="B Badr" w:hint="cs"/>
          <w:color w:val="000000" w:themeColor="text1"/>
          <w:rtl/>
        </w:rPr>
        <w:t>ی</w:t>
      </w:r>
      <w:r w:rsidRPr="00A436C5">
        <w:rPr>
          <w:rFonts w:ascii="Noor_Titr" w:hAnsi="Noor_Titr" w:cs="B Badr" w:hint="cs"/>
          <w:color w:val="000000" w:themeColor="text1"/>
          <w:rtl/>
        </w:rPr>
        <w:t>لة - الحدود؛ ص: 706</w:t>
      </w:r>
      <w:r w:rsidR="003971B0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DD" w:rsidRPr="002F3184" w:rsidRDefault="000D5800" w:rsidP="002F3184">
    <w:pPr>
      <w:tabs>
        <w:tab w:val="left" w:pos="1256"/>
        <w:tab w:val="left" w:pos="5696"/>
        <w:tab w:val="right" w:pos="9071"/>
      </w:tabs>
      <w:bidi/>
      <w:rPr>
        <w:rFonts w:hint="cs"/>
        <w:b/>
        <w:bCs/>
        <w:sz w:val="3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F6FE891" wp14:editId="4339DE3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847C1E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  <w:lang w:bidi="fa-IR"/>
      </w:rPr>
      <w:drawing>
        <wp:inline distT="0" distB="0" distL="0" distR="0" wp14:anchorId="1E0FA2A7" wp14:editId="58DFA80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F115A">
      <w:rPr>
        <w:rFonts w:ascii="IranNastaliq" w:hAnsi="IranNastaliq" w:cs="IranNastaliq" w:hint="cs"/>
        <w:sz w:val="40"/>
        <w:szCs w:val="40"/>
        <w:rtl/>
        <w:lang w:bidi="fa-IR"/>
      </w:rPr>
      <w:t>948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38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076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84206"/>
    <w:rsid w:val="002914BD"/>
    <w:rsid w:val="00297263"/>
    <w:rsid w:val="002C56FD"/>
    <w:rsid w:val="002D49E4"/>
    <w:rsid w:val="002E450B"/>
    <w:rsid w:val="002E73F9"/>
    <w:rsid w:val="002F05B9"/>
    <w:rsid w:val="002F3184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971B0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115A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36B70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5E3"/>
    <w:rsid w:val="00811F02"/>
    <w:rsid w:val="0081670E"/>
    <w:rsid w:val="008407A4"/>
    <w:rsid w:val="00844860"/>
    <w:rsid w:val="00845CC4"/>
    <w:rsid w:val="00857C21"/>
    <w:rsid w:val="008644F4"/>
    <w:rsid w:val="008673B6"/>
    <w:rsid w:val="0087093D"/>
    <w:rsid w:val="00883733"/>
    <w:rsid w:val="00884041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55CED"/>
    <w:rsid w:val="009613AC"/>
    <w:rsid w:val="00980643"/>
    <w:rsid w:val="00994E43"/>
    <w:rsid w:val="009A15A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B6DDA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2650A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115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115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83860-732F-4500-87BC-544EBB6C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104</TotalTime>
  <Pages>4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64</cp:revision>
  <dcterms:created xsi:type="dcterms:W3CDTF">2014-12-20T10:23:00Z</dcterms:created>
  <dcterms:modified xsi:type="dcterms:W3CDTF">2015-08-23T07:20:00Z</dcterms:modified>
</cp:coreProperties>
</file>